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40A4" w:rsidRDefault="00DE7131" w:rsidP="003C40A4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,Bold"/>
          <w:b/>
          <w:bCs/>
          <w:color w:val="1F497D"/>
          <w:sz w:val="40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40"/>
          <w:szCs w:val="28"/>
        </w:rPr>
        <w:t>Fondation d’entreprise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,Bold"/>
          <w:b/>
          <w:bCs/>
          <w:color w:val="1F497D"/>
          <w:sz w:val="40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40"/>
          <w:szCs w:val="28"/>
        </w:rPr>
        <w:t xml:space="preserve"> Crédit Agricole Toulouse 31</w:t>
      </w:r>
    </w:p>
    <w:p w:rsidR="003C40A4" w:rsidRPr="003C40A4" w:rsidRDefault="003C40A4" w:rsidP="003C40A4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,Bold"/>
          <w:b/>
          <w:bCs/>
          <w:color w:val="1F497D"/>
          <w:sz w:val="40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Calibri,Bold"/>
          <w:b/>
          <w:bCs/>
          <w:color w:val="1F497D"/>
          <w:sz w:val="40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40"/>
          <w:szCs w:val="28"/>
        </w:rPr>
        <w:t>Règlement</w:t>
      </w:r>
    </w:p>
    <w:p w:rsidR="000201C9" w:rsidRPr="003C40A4" w:rsidRDefault="000201C9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0201C9" w:rsidRPr="003C40A4" w:rsidRDefault="000201C9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Pr="003C40A4" w:rsidRDefault="00DE7131" w:rsidP="003C40A4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28"/>
          <w:szCs w:val="28"/>
        </w:rPr>
        <w:t>La vocation</w:t>
      </w:r>
    </w:p>
    <w:p w:rsidR="003C40A4" w:rsidRPr="003C40A4" w:rsidRDefault="003C40A4" w:rsidP="003C40A4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La Fondation d’entreprise Crédit Agricole Toulouse 31 a pour objet de soutenir, dans le cadre</w:t>
      </w:r>
      <w:r w:rsid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général, juridique et fiscal du mécénat, toutes actions relevant de l’animation du</w:t>
      </w:r>
      <w:r w:rsidR="000201C9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territoire de la Haute-Garonne.</w:t>
      </w:r>
    </w:p>
    <w:p w:rsidR="000201C9" w:rsidRPr="003C40A4" w:rsidRDefault="000201C9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Default="00201B0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>
        <w:rPr>
          <w:rFonts w:ascii="Century Gothic" w:hAnsi="Century Gothic" w:cs="Calibri,Bold"/>
          <w:b/>
          <w:bCs/>
          <w:color w:val="000000"/>
          <w:sz w:val="28"/>
          <w:szCs w:val="28"/>
        </w:rPr>
        <w:t xml:space="preserve">Ses </w:t>
      </w:r>
      <w:r w:rsidR="003C40A4"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>champs d’</w:t>
      </w:r>
      <w:r>
        <w:rPr>
          <w:rFonts w:ascii="Century Gothic" w:hAnsi="Century Gothic" w:cs="Calibri,Bold"/>
          <w:b/>
          <w:bCs/>
          <w:color w:val="000000"/>
          <w:sz w:val="28"/>
          <w:szCs w:val="28"/>
        </w:rPr>
        <w:t>intervention sont les suivants</w:t>
      </w:r>
      <w:r w:rsidR="00DE7131"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 xml:space="preserve"> :</w:t>
      </w:r>
    </w:p>
    <w:p w:rsidR="000A3B0E" w:rsidRDefault="000A3B0E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045327" w:rsidRDefault="00045327" w:rsidP="00045327">
      <w:pPr>
        <w:pStyle w:val="Default"/>
        <w:numPr>
          <w:ilvl w:val="0"/>
          <w:numId w:val="23"/>
        </w:numPr>
        <w:ind w:left="426" w:hanging="437"/>
        <w:jc w:val="both"/>
        <w:rPr>
          <w:rFonts w:ascii="Century Gothic" w:hAnsi="Century Gothic" w:cs="Calibri,Bold"/>
          <w:bCs/>
          <w:sz w:val="28"/>
          <w:szCs w:val="28"/>
        </w:rPr>
      </w:pPr>
      <w:r w:rsidRPr="00045327">
        <w:rPr>
          <w:rFonts w:ascii="Century Gothic" w:hAnsi="Century Gothic" w:cs="Calibri,Bold"/>
          <w:b/>
          <w:bCs/>
          <w:sz w:val="28"/>
          <w:szCs w:val="28"/>
        </w:rPr>
        <w:t>L’Environnement et la transition énergétique</w:t>
      </w:r>
      <w:r w:rsidRPr="00045327">
        <w:rPr>
          <w:rFonts w:ascii="Century Gothic" w:hAnsi="Century Gothic" w:cs="Calibri,Bold"/>
          <w:bCs/>
          <w:sz w:val="28"/>
          <w:szCs w:val="28"/>
        </w:rPr>
        <w:t xml:space="preserve"> : préservation de l’environnement, développement durable, économie verte, transition écologique, sensibilisation des citoyens. </w:t>
      </w:r>
    </w:p>
    <w:p w:rsidR="00045327" w:rsidRPr="00045327" w:rsidRDefault="00045327" w:rsidP="00045327">
      <w:pPr>
        <w:pStyle w:val="Default"/>
        <w:ind w:left="567" w:hanging="578"/>
        <w:rPr>
          <w:rFonts w:ascii="Century Gothic" w:hAnsi="Century Gothic" w:cs="Calibri,Bold"/>
          <w:bCs/>
          <w:sz w:val="28"/>
          <w:szCs w:val="28"/>
        </w:rPr>
      </w:pPr>
    </w:p>
    <w:p w:rsidR="00045327" w:rsidRDefault="00045327" w:rsidP="00045327">
      <w:pPr>
        <w:pStyle w:val="Default"/>
        <w:numPr>
          <w:ilvl w:val="0"/>
          <w:numId w:val="23"/>
        </w:numPr>
        <w:ind w:left="426" w:hanging="437"/>
        <w:jc w:val="both"/>
        <w:rPr>
          <w:rFonts w:ascii="Century Gothic" w:hAnsi="Century Gothic" w:cs="Calibri,Bold"/>
          <w:bCs/>
          <w:sz w:val="28"/>
          <w:szCs w:val="28"/>
        </w:rPr>
      </w:pPr>
      <w:r w:rsidRPr="00045327">
        <w:rPr>
          <w:rFonts w:ascii="Century Gothic" w:hAnsi="Century Gothic" w:cs="Calibri,Bold"/>
          <w:b/>
          <w:bCs/>
          <w:sz w:val="28"/>
          <w:szCs w:val="28"/>
        </w:rPr>
        <w:t>La cohésion et l’inclusion sociale</w:t>
      </w:r>
      <w:r w:rsidRPr="00045327">
        <w:rPr>
          <w:rFonts w:ascii="Century Gothic" w:hAnsi="Century Gothic" w:cs="Calibri,Bold"/>
          <w:bCs/>
          <w:sz w:val="28"/>
          <w:szCs w:val="28"/>
        </w:rPr>
        <w:t xml:space="preserve"> : les jeunes et l’emploi, l’insertion professionnelle, l’éducation, la réussite éducative, l’éducation budgétaire, inclusion numérique, la mobilité, l’autonomie alimentaire, l’accès au logement, la lutte contre la précarité énergétique. </w:t>
      </w:r>
    </w:p>
    <w:p w:rsidR="00045327" w:rsidRDefault="00045327" w:rsidP="00045327">
      <w:pPr>
        <w:pStyle w:val="Paragraphedeliste"/>
        <w:ind w:left="567" w:hanging="578"/>
        <w:rPr>
          <w:rFonts w:ascii="Century Gothic" w:hAnsi="Century Gothic" w:cs="Calibri,Bold"/>
          <w:bCs/>
          <w:sz w:val="28"/>
          <w:szCs w:val="28"/>
        </w:rPr>
      </w:pPr>
    </w:p>
    <w:p w:rsidR="00045327" w:rsidRDefault="00045327" w:rsidP="00045327">
      <w:pPr>
        <w:pStyle w:val="Default"/>
        <w:numPr>
          <w:ilvl w:val="0"/>
          <w:numId w:val="23"/>
        </w:numPr>
        <w:ind w:left="426" w:hanging="437"/>
        <w:rPr>
          <w:rFonts w:ascii="Century Gothic" w:hAnsi="Century Gothic" w:cs="Calibri,Bold"/>
          <w:bCs/>
          <w:sz w:val="28"/>
          <w:szCs w:val="28"/>
        </w:rPr>
      </w:pPr>
      <w:r w:rsidRPr="00045327">
        <w:rPr>
          <w:rFonts w:ascii="Century Gothic" w:hAnsi="Century Gothic" w:cs="Calibri,Bold"/>
          <w:b/>
          <w:bCs/>
          <w:sz w:val="28"/>
          <w:szCs w:val="28"/>
        </w:rPr>
        <w:t>Les transitions agricoles et agroalimentaire</w:t>
      </w:r>
      <w:r w:rsidRPr="00045327">
        <w:rPr>
          <w:rFonts w:ascii="Century Gothic" w:hAnsi="Century Gothic" w:cs="Calibri,Bold"/>
          <w:bCs/>
          <w:sz w:val="28"/>
          <w:szCs w:val="28"/>
        </w:rPr>
        <w:t xml:space="preserve"> : accompagnement de projets locaux contribuant à décarboner l’agriculture, lutte contre le réchauffement climatique, démarche d’agriculture raisonnée, soutien de la souveraineté alimentaire (qualité alimentaire et développement durable, circuits courts ...).</w:t>
      </w:r>
    </w:p>
    <w:p w:rsidR="00045327" w:rsidRDefault="00045327" w:rsidP="00045327">
      <w:pPr>
        <w:pStyle w:val="Paragraphedeliste"/>
        <w:ind w:left="567" w:hanging="578"/>
        <w:rPr>
          <w:rFonts w:ascii="Century Gothic" w:hAnsi="Century Gothic" w:cs="Calibri,Bold"/>
          <w:bCs/>
          <w:sz w:val="28"/>
          <w:szCs w:val="28"/>
        </w:rPr>
      </w:pPr>
    </w:p>
    <w:p w:rsidR="00045327" w:rsidRPr="00045327" w:rsidRDefault="00045327" w:rsidP="00045327">
      <w:pPr>
        <w:pStyle w:val="Default"/>
        <w:numPr>
          <w:ilvl w:val="0"/>
          <w:numId w:val="23"/>
        </w:numPr>
        <w:ind w:left="426" w:hanging="578"/>
        <w:rPr>
          <w:rFonts w:ascii="Century Gothic" w:hAnsi="Century Gothic" w:cs="Calibri,Bold"/>
          <w:bCs/>
          <w:sz w:val="28"/>
          <w:szCs w:val="28"/>
        </w:rPr>
      </w:pPr>
      <w:r w:rsidRPr="00045327">
        <w:rPr>
          <w:rFonts w:ascii="Century Gothic" w:hAnsi="Century Gothic" w:cs="Calibri,Bold"/>
          <w:b/>
          <w:bCs/>
          <w:sz w:val="28"/>
          <w:szCs w:val="28"/>
        </w:rPr>
        <w:t>La santé et le bien vieillir</w:t>
      </w:r>
      <w:r w:rsidRPr="00045327">
        <w:rPr>
          <w:rFonts w:ascii="Century Gothic" w:hAnsi="Century Gothic" w:cs="Calibri,Bold"/>
          <w:bCs/>
          <w:sz w:val="28"/>
          <w:szCs w:val="28"/>
        </w:rPr>
        <w:t xml:space="preserve"> : développement de la télémédecine, accompagnement des nouvelles formes d'exercice de la médecine, déploiement de structures de santé dans les déserts médicaux, etc.</w:t>
      </w:r>
    </w:p>
    <w:p w:rsidR="00045327" w:rsidRPr="00045327" w:rsidRDefault="00045327" w:rsidP="00045327">
      <w:pPr>
        <w:pStyle w:val="Default"/>
        <w:ind w:left="426"/>
        <w:rPr>
          <w:rFonts w:ascii="Century Gothic" w:hAnsi="Century Gothic" w:cs="Calibri,Bold"/>
          <w:bCs/>
          <w:sz w:val="28"/>
          <w:szCs w:val="28"/>
        </w:rPr>
      </w:pPr>
      <w:r w:rsidRPr="00045327">
        <w:rPr>
          <w:rFonts w:ascii="Century Gothic" w:hAnsi="Century Gothic" w:cs="Calibri,Bold"/>
          <w:bCs/>
          <w:sz w:val="28"/>
          <w:szCs w:val="28"/>
        </w:rPr>
        <w:t>L’hébergement pour les seniors, les services seniors et aidants.</w:t>
      </w:r>
    </w:p>
    <w:p w:rsidR="003C40A4" w:rsidRPr="003C40A4" w:rsidRDefault="003C40A4" w:rsidP="003C40A4">
      <w:pPr>
        <w:pStyle w:val="Default"/>
        <w:jc w:val="both"/>
        <w:rPr>
          <w:rFonts w:ascii="Century Gothic" w:hAnsi="Century Gothic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lastRenderedPageBreak/>
        <w:t>La Fondation d’entreprise Crédit Agricole Toulouse 31 se réserve le droit de faire des appels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 xml:space="preserve">à projets plusieurs fois </w:t>
      </w:r>
      <w:r w:rsid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 xml:space="preserve">par an dans des domaines précis, </w:t>
      </w:r>
      <w:r w:rsidR="003C40A4" w:rsidRPr="003C40A4">
        <w:rPr>
          <w:rFonts w:ascii="Century Gothic" w:hAnsi="Century Gothic"/>
          <w:sz w:val="28"/>
          <w:szCs w:val="28"/>
        </w:rPr>
        <w:t>sur des axes non expressément mentionnés dans les statuts</w:t>
      </w:r>
      <w:r w:rsidR="003C40A4">
        <w:rPr>
          <w:rFonts w:ascii="Century Gothic" w:hAnsi="Century Gothic"/>
          <w:sz w:val="28"/>
          <w:szCs w:val="28"/>
        </w:rPr>
        <w:t>.</w:t>
      </w:r>
    </w:p>
    <w:p w:rsidR="000E3BA3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3C40A4" w:rsidRDefault="003C40A4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E7131" w:rsidRDefault="00DE7131" w:rsidP="003C40A4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28"/>
          <w:szCs w:val="28"/>
        </w:rPr>
        <w:t>Les bénéficiaires :</w:t>
      </w:r>
    </w:p>
    <w:p w:rsidR="00787309" w:rsidRPr="003C40A4" w:rsidRDefault="00787309" w:rsidP="00787309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787309" w:rsidRDefault="00787309" w:rsidP="00C63F0D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787309">
        <w:rPr>
          <w:rFonts w:ascii="Century Gothic" w:hAnsi="Century Gothic" w:cs="Calibri"/>
          <w:color w:val="000000"/>
          <w:sz w:val="28"/>
          <w:szCs w:val="28"/>
        </w:rPr>
        <w:t>Le mécénat d’entreprise permet de soutenir de nombreux bénéficiaires à partir du moment où ces derniers</w:t>
      </w:r>
      <w:r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787309">
        <w:rPr>
          <w:rFonts w:ascii="Century Gothic" w:hAnsi="Century Gothic" w:cs="Calibri"/>
          <w:color w:val="000000"/>
          <w:sz w:val="28"/>
          <w:szCs w:val="28"/>
        </w:rPr>
        <w:t xml:space="preserve">répondent à un certain nombre de critères. </w:t>
      </w:r>
    </w:p>
    <w:p w:rsidR="00C63F0D" w:rsidRDefault="00C63F0D" w:rsidP="00C63F0D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C63F0D" w:rsidRDefault="00045327" w:rsidP="00C63F0D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45327">
        <w:rPr>
          <w:rFonts w:ascii="Century Gothic" w:hAnsi="Century Gothic" w:cs="Calibri"/>
          <w:color w:val="000000"/>
          <w:sz w:val="28"/>
          <w:szCs w:val="28"/>
        </w:rPr>
        <w:t xml:space="preserve">La Fondation s'engage à étudier les projets présentés par les porteurs de projets collectifs dont le projet bénéficie </w:t>
      </w:r>
      <w:r w:rsidRPr="00045327">
        <w:rPr>
          <w:rFonts w:ascii="Century Gothic" w:hAnsi="Century Gothic" w:cs="Calibri"/>
          <w:b/>
          <w:color w:val="000000"/>
          <w:sz w:val="28"/>
          <w:szCs w:val="28"/>
        </w:rPr>
        <w:t>aux territoires ou habitants de la Haute-Garonne</w:t>
      </w:r>
      <w:r w:rsidRPr="00045327"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045327" w:rsidRDefault="00045327" w:rsidP="00C63F0D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3C40A4" w:rsidRPr="00787309" w:rsidRDefault="00787309" w:rsidP="00C63F0D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787309">
        <w:rPr>
          <w:rFonts w:ascii="Century Gothic" w:hAnsi="Century Gothic" w:cs="Calibri"/>
          <w:color w:val="000000"/>
          <w:sz w:val="28"/>
          <w:szCs w:val="28"/>
        </w:rPr>
        <w:t>Pour être éligible au mécénat au regard du droit fiscal, le</w:t>
      </w:r>
      <w:r w:rsidR="00D83872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787309">
        <w:rPr>
          <w:rFonts w:ascii="Century Gothic" w:hAnsi="Century Gothic" w:cs="Calibri"/>
          <w:color w:val="000000"/>
          <w:sz w:val="28"/>
          <w:szCs w:val="28"/>
        </w:rPr>
        <w:t xml:space="preserve">bénéficiaire </w:t>
      </w:r>
      <w:r w:rsidR="00C63F0D">
        <w:rPr>
          <w:rFonts w:ascii="Century Gothic" w:hAnsi="Century Gothic" w:cs="Calibri"/>
          <w:color w:val="000000"/>
          <w:sz w:val="28"/>
          <w:szCs w:val="28"/>
        </w:rPr>
        <w:t>doit :</w:t>
      </w:r>
      <w:r w:rsidRPr="00787309">
        <w:rPr>
          <w:rFonts w:ascii="Century Gothic" w:hAnsi="Century Gothic" w:cs="Calibri"/>
          <w:color w:val="000000"/>
          <w:sz w:val="28"/>
          <w:szCs w:val="28"/>
        </w:rPr>
        <w:t xml:space="preserve"> </w:t>
      </w:r>
    </w:p>
    <w:p w:rsidR="00C63F0D" w:rsidRDefault="00C63F0D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BC100F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745787" w:rsidRDefault="00C63F0D" w:rsidP="00BC100F">
      <w:pPr>
        <w:pStyle w:val="Paragraphedeliste"/>
        <w:numPr>
          <w:ilvl w:val="1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  <w:r w:rsidRPr="00C63F0D">
        <w:rPr>
          <w:rFonts w:ascii="Century Gothic" w:hAnsi="Century Gothic" w:cs="Calibri"/>
          <w:b/>
          <w:color w:val="000000"/>
          <w:sz w:val="28"/>
          <w:szCs w:val="28"/>
        </w:rPr>
        <w:t xml:space="preserve">Etre d’intérêt général : </w:t>
      </w:r>
    </w:p>
    <w:p w:rsidR="00C63F0D" w:rsidRPr="00C63F0D" w:rsidRDefault="00C63F0D" w:rsidP="00C63F0D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</w:p>
    <w:p w:rsidR="00C63F0D" w:rsidRPr="00C63F0D" w:rsidRDefault="00C63F0D" w:rsidP="00C63F0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C63F0D">
        <w:rPr>
          <w:rFonts w:ascii="Century Gothic" w:hAnsi="Century Gothic" w:cs="Calibri"/>
          <w:color w:val="000000"/>
          <w:sz w:val="28"/>
          <w:szCs w:val="28"/>
        </w:rPr>
        <w:t>Un organisme reconnu d’intérêt général doit :</w:t>
      </w:r>
    </w:p>
    <w:p w:rsidR="00C63F0D" w:rsidRPr="00D367FA" w:rsidRDefault="00C63F0D" w:rsidP="00C63F0D">
      <w:pPr>
        <w:pStyle w:val="Paragraphedeliste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473AB">
        <w:rPr>
          <w:rFonts w:ascii="Century Gothic" w:hAnsi="Century Gothic" w:cs="Calibri"/>
          <w:color w:val="000000"/>
          <w:sz w:val="28"/>
          <w:szCs w:val="28"/>
        </w:rPr>
        <w:t>Relever d’un des domaines d’activités définis par la loi Art 238 bis du CGI</w:t>
      </w:r>
      <w:r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C63F0D" w:rsidRPr="00D367FA" w:rsidRDefault="00C63F0D" w:rsidP="00C63F0D">
      <w:pPr>
        <w:pStyle w:val="Paragraphedeliste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473AB">
        <w:rPr>
          <w:rFonts w:ascii="Century Gothic" w:hAnsi="Century Gothic" w:cs="Calibri"/>
          <w:color w:val="000000"/>
          <w:sz w:val="28"/>
          <w:szCs w:val="28"/>
        </w:rPr>
        <w:t>Avoir un caractère non lucratif</w:t>
      </w:r>
      <w:r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C63F0D" w:rsidRDefault="00C63F0D" w:rsidP="00C63F0D">
      <w:pPr>
        <w:pStyle w:val="Paragraphedeliste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473AB">
        <w:rPr>
          <w:rFonts w:ascii="Century Gothic" w:hAnsi="Century Gothic" w:cs="Calibri"/>
          <w:color w:val="000000"/>
          <w:sz w:val="28"/>
          <w:szCs w:val="28"/>
        </w:rPr>
        <w:t>Ne pas agir au profit d’un cercle restreint</w:t>
      </w:r>
      <w:r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C63F0D" w:rsidRDefault="00C63F0D" w:rsidP="00C63F0D">
      <w:pPr>
        <w:pStyle w:val="Paragraphedeliste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BC100F" w:rsidRDefault="00BC100F" w:rsidP="00C63F0D">
      <w:pPr>
        <w:pStyle w:val="Paragraphedeliste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C63F0D" w:rsidRDefault="00C63F0D" w:rsidP="00BC100F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  <w:r w:rsidRPr="00C63F0D">
        <w:rPr>
          <w:rFonts w:ascii="Century Gothic" w:hAnsi="Century Gothic" w:cs="Calibri"/>
          <w:b/>
          <w:color w:val="000000"/>
          <w:sz w:val="28"/>
          <w:szCs w:val="28"/>
        </w:rPr>
        <w:t>Les Structures éligibles :</w:t>
      </w:r>
    </w:p>
    <w:p w:rsidR="00BC100F" w:rsidRPr="00C63F0D" w:rsidRDefault="00BC100F" w:rsidP="00BC100F">
      <w:pPr>
        <w:pStyle w:val="Paragraphedeliste"/>
        <w:autoSpaceDE w:val="0"/>
        <w:autoSpaceDN w:val="0"/>
        <w:adjustRightInd w:val="0"/>
        <w:spacing w:after="0" w:line="240" w:lineRule="auto"/>
        <w:ind w:left="1418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</w:p>
    <w:p w:rsidR="00D83872" w:rsidRDefault="00C63F0D" w:rsidP="00D83872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C63F0D">
        <w:rPr>
          <w:rFonts w:ascii="Century Gothic" w:hAnsi="Century Gothic" w:cs="Calibri"/>
          <w:color w:val="000000"/>
          <w:sz w:val="28"/>
          <w:szCs w:val="28"/>
        </w:rPr>
        <w:t>Les articles 200 et 238 bis du Code général des impôts listent les organismes éligibles au mécénat. Sous</w:t>
      </w:r>
      <w:r w:rsidR="00D83872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C63F0D">
        <w:rPr>
          <w:rFonts w:ascii="Century Gothic" w:hAnsi="Century Gothic" w:cs="Calibri"/>
          <w:color w:val="000000"/>
          <w:sz w:val="28"/>
          <w:szCs w:val="28"/>
        </w:rPr>
        <w:t>réserve qu’ils répondent aux conditions générales de l’éligibilité cités ci-dessus, sont ainsi éligibles les</w:t>
      </w:r>
      <w:r w:rsidR="00D83872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C63F0D">
        <w:rPr>
          <w:rFonts w:ascii="Century Gothic" w:hAnsi="Century Gothic" w:cs="Calibri"/>
          <w:color w:val="000000"/>
          <w:sz w:val="28"/>
          <w:szCs w:val="28"/>
        </w:rPr>
        <w:t xml:space="preserve">structures suivantes : </w:t>
      </w:r>
    </w:p>
    <w:p w:rsidR="00C63F0D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367FA">
        <w:rPr>
          <w:rFonts w:ascii="Century Gothic" w:hAnsi="Century Gothic" w:cs="Calibri"/>
          <w:color w:val="000000"/>
          <w:sz w:val="28"/>
          <w:szCs w:val="28"/>
        </w:rPr>
        <w:t>Associations</w:t>
      </w:r>
      <w:r>
        <w:rPr>
          <w:rFonts w:ascii="Century Gothic" w:hAnsi="Century Gothic" w:cs="Calibri"/>
          <w:color w:val="000000"/>
          <w:sz w:val="28"/>
          <w:szCs w:val="28"/>
        </w:rPr>
        <w:t>,</w:t>
      </w:r>
    </w:p>
    <w:p w:rsidR="00C63F0D" w:rsidRPr="00D83872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Fondations,</w:t>
      </w:r>
    </w:p>
    <w:p w:rsidR="00C63F0D" w:rsidRPr="00D83872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Fonds de dotation,</w:t>
      </w:r>
    </w:p>
    <w:p w:rsidR="00C63F0D" w:rsidRPr="00D83872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L’Etat, les collectivités territoriales, les établissements publics, les groupements d’intérêt public.</w:t>
      </w:r>
    </w:p>
    <w:p w:rsidR="00C63F0D" w:rsidRPr="00D83872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lastRenderedPageBreak/>
        <w:t>Les établissements d’enseignement supérieur et artistique.</w:t>
      </w:r>
    </w:p>
    <w:p w:rsidR="00C63F0D" w:rsidRPr="00D83872" w:rsidRDefault="00C63F0D" w:rsidP="00D83872">
      <w:pPr>
        <w:pStyle w:val="Paragraphedeliste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L’Agence national</w:t>
      </w:r>
      <w:r w:rsidR="00D83872">
        <w:rPr>
          <w:rFonts w:ascii="Century Gothic" w:hAnsi="Century Gothic" w:cs="Calibri"/>
          <w:color w:val="000000"/>
          <w:sz w:val="28"/>
          <w:szCs w:val="28"/>
        </w:rPr>
        <w:t>e</w:t>
      </w:r>
      <w:r w:rsidRPr="00D83872">
        <w:rPr>
          <w:rFonts w:ascii="Century Gothic" w:hAnsi="Century Gothic" w:cs="Calibri"/>
          <w:color w:val="000000"/>
          <w:sz w:val="28"/>
          <w:szCs w:val="28"/>
        </w:rPr>
        <w:t xml:space="preserve"> de la recherche.</w:t>
      </w:r>
    </w:p>
    <w:p w:rsidR="00D83872" w:rsidRDefault="00D83872" w:rsidP="00D83872">
      <w:pPr>
        <w:pStyle w:val="Paragraphedeliste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BC100F" w:rsidRDefault="00BC100F" w:rsidP="00D83872">
      <w:pPr>
        <w:pStyle w:val="Paragraphedeliste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C63F0D" w:rsidRDefault="00BC100F" w:rsidP="00BC100F">
      <w:pPr>
        <w:pStyle w:val="Paragraphedeliste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 w:rsidRPr="00C63F0D">
        <w:rPr>
          <w:rFonts w:ascii="Century Gothic" w:hAnsi="Century Gothic" w:cs="Calibri"/>
          <w:b/>
          <w:color w:val="000000"/>
          <w:sz w:val="28"/>
          <w:szCs w:val="28"/>
        </w:rPr>
        <w:t xml:space="preserve">Les Structures </w:t>
      </w:r>
      <w:r>
        <w:rPr>
          <w:rFonts w:ascii="Century Gothic" w:hAnsi="Century Gothic" w:cs="Calibri"/>
          <w:b/>
          <w:color w:val="000000"/>
          <w:sz w:val="28"/>
          <w:szCs w:val="28"/>
        </w:rPr>
        <w:t xml:space="preserve">non </w:t>
      </w:r>
      <w:r w:rsidR="00C63F0D" w:rsidRPr="00D83872">
        <w:rPr>
          <w:rFonts w:ascii="Century Gothic" w:hAnsi="Century Gothic" w:cs="Calibri,Bold"/>
          <w:b/>
          <w:bCs/>
          <w:color w:val="000000"/>
          <w:sz w:val="28"/>
          <w:szCs w:val="28"/>
        </w:rPr>
        <w:t>éligibles au mécénat :</w:t>
      </w:r>
    </w:p>
    <w:p w:rsidR="00BC100F" w:rsidRPr="00D83872" w:rsidRDefault="00BC100F" w:rsidP="00BC100F">
      <w:pPr>
        <w:pStyle w:val="Paragraphedeliste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 xml:space="preserve">Les entreprises industrielles ou commerciales : SA, SAS, SARL, </w:t>
      </w:r>
      <w:proofErr w:type="gramStart"/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EURL,…</w:t>
      </w:r>
      <w:proofErr w:type="gramEnd"/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sociétés coopératives de production (SCOP) et les société coopératives d’intérêt collectif (SCIC).</w:t>
      </w: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sociétés civiles.</w:t>
      </w: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entrepreneurs sociaux constitués sous forme de sociétés.</w:t>
      </w: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entreprises solidaires d’utilité sociale (ESUS).</w:t>
      </w: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sociétés publiques locales.</w:t>
      </w:r>
    </w:p>
    <w:p w:rsidR="00C63F0D" w:rsidRPr="00D83872" w:rsidRDefault="00C63F0D" w:rsidP="00D83872">
      <w:pPr>
        <w:pStyle w:val="Paragraphedeliste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Cs/>
          <w:color w:val="000000"/>
          <w:sz w:val="28"/>
          <w:szCs w:val="28"/>
        </w:rPr>
      </w:pPr>
      <w:r w:rsidRPr="00D83872">
        <w:rPr>
          <w:rFonts w:ascii="Century Gothic" w:hAnsi="Century Gothic" w:cs="Calibri,Bold"/>
          <w:bCs/>
          <w:color w:val="000000"/>
          <w:sz w:val="28"/>
          <w:szCs w:val="28"/>
        </w:rPr>
        <w:t>Les couveuses d’entreprises.</w:t>
      </w:r>
    </w:p>
    <w:p w:rsidR="00C63F0D" w:rsidRDefault="00C63F0D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3C40A4" w:rsidRDefault="003C40A4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ind w:left="708" w:hanging="282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28"/>
          <w:szCs w:val="28"/>
        </w:rPr>
        <w:t>3. L’éligibilité des projets</w:t>
      </w:r>
    </w:p>
    <w:p w:rsidR="000E3BA3" w:rsidRPr="003C40A4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201B03" w:rsidRPr="003C40A4" w:rsidRDefault="00201B0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83872" w:rsidRDefault="00DE7131" w:rsidP="00D8387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La Fondation examine uniquement les projets</w:t>
      </w:r>
      <w:r w:rsidR="00D83872">
        <w:rPr>
          <w:rFonts w:ascii="Century Gothic" w:hAnsi="Century Gothic" w:cs="Calibri"/>
          <w:color w:val="000000"/>
          <w:sz w:val="28"/>
          <w:szCs w:val="28"/>
        </w:rPr>
        <w:t xml:space="preserve"> : </w:t>
      </w:r>
    </w:p>
    <w:p w:rsidR="00D83872" w:rsidRDefault="00D83872" w:rsidP="00D83872">
      <w:pPr>
        <w:pStyle w:val="Paragraphedeliste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Ayant</w:t>
      </w:r>
      <w:r w:rsidR="00DE7131" w:rsidRPr="00D83872">
        <w:rPr>
          <w:rFonts w:ascii="Century Gothic" w:hAnsi="Century Gothic" w:cs="Calibri"/>
          <w:color w:val="000000"/>
          <w:sz w:val="28"/>
          <w:szCs w:val="28"/>
        </w:rPr>
        <w:t xml:space="preserve"> fait l’objet du dépôt d’un dossier</w:t>
      </w:r>
      <w:r w:rsidR="00201B03" w:rsidRPr="00D83872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DE7131" w:rsidRPr="00D83872">
        <w:rPr>
          <w:rFonts w:ascii="Century Gothic" w:hAnsi="Century Gothic" w:cs="Calibri"/>
          <w:color w:val="000000"/>
          <w:sz w:val="28"/>
          <w:szCs w:val="28"/>
        </w:rPr>
        <w:t>complet avant la date limite de candidature.</w:t>
      </w:r>
    </w:p>
    <w:p w:rsidR="00D15979" w:rsidRPr="00BC100F" w:rsidRDefault="00D83872" w:rsidP="00D83872">
      <w:pPr>
        <w:pStyle w:val="Paragraphedeliste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BC100F">
        <w:rPr>
          <w:rFonts w:ascii="Century Gothic" w:hAnsi="Century Gothic" w:cs="Calibri"/>
          <w:color w:val="000000"/>
          <w:sz w:val="28"/>
          <w:szCs w:val="28"/>
        </w:rPr>
        <w:t xml:space="preserve">N’ayant pas </w:t>
      </w:r>
      <w:r w:rsidR="00D15979" w:rsidRPr="00BC100F">
        <w:rPr>
          <w:rFonts w:ascii="Century Gothic" w:hAnsi="Century Gothic" w:cs="Calibri"/>
          <w:color w:val="000000"/>
          <w:sz w:val="28"/>
          <w:szCs w:val="28"/>
        </w:rPr>
        <w:t>été soutenus par la Fondation deux année de suite.</w:t>
      </w:r>
    </w:p>
    <w:p w:rsidR="00DE7131" w:rsidRDefault="00D83872" w:rsidP="00D14C5B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D83872">
        <w:rPr>
          <w:rFonts w:ascii="Century Gothic" w:hAnsi="Century Gothic" w:cs="Calibri"/>
          <w:color w:val="000000"/>
          <w:sz w:val="28"/>
          <w:szCs w:val="28"/>
        </w:rPr>
        <w:t>A</w:t>
      </w:r>
      <w:r w:rsidR="00DE7131" w:rsidRPr="00D83872">
        <w:rPr>
          <w:rFonts w:ascii="Century Gothic" w:hAnsi="Century Gothic" w:cs="Calibri"/>
          <w:color w:val="000000"/>
          <w:sz w:val="28"/>
          <w:szCs w:val="28"/>
        </w:rPr>
        <w:t xml:space="preserve">yant attrait aux </w:t>
      </w:r>
      <w:r w:rsidR="00201B03" w:rsidRPr="00D83872">
        <w:rPr>
          <w:rFonts w:ascii="Century Gothic" w:hAnsi="Century Gothic" w:cs="Calibri"/>
          <w:color w:val="000000"/>
          <w:sz w:val="28"/>
          <w:szCs w:val="28"/>
        </w:rPr>
        <w:t>champs d’interventions</w:t>
      </w:r>
      <w:r w:rsidR="00DE7131" w:rsidRPr="00D83872">
        <w:rPr>
          <w:rFonts w:ascii="Century Gothic" w:hAnsi="Century Gothic" w:cs="Calibri"/>
          <w:color w:val="000000"/>
          <w:sz w:val="28"/>
          <w:szCs w:val="28"/>
        </w:rPr>
        <w:t xml:space="preserve"> tels que définis dans le point 1 du présent règlement.</w:t>
      </w:r>
    </w:p>
    <w:p w:rsidR="00045327" w:rsidRPr="00D83872" w:rsidRDefault="00045327" w:rsidP="00045327">
      <w:pPr>
        <w:pStyle w:val="Paragraphedeliste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0E3BA3" w:rsidRPr="003C40A4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>Les dépenses éligibles</w:t>
      </w:r>
      <w:r w:rsidR="00D83872">
        <w:rPr>
          <w:rFonts w:ascii="Century Gothic" w:hAnsi="Century Gothic" w:cs="Calibri,Bold"/>
          <w:b/>
          <w:bCs/>
          <w:color w:val="000000"/>
          <w:sz w:val="28"/>
          <w:szCs w:val="28"/>
        </w:rPr>
        <w:t xml:space="preserve"> sont les dépenses </w:t>
      </w:r>
      <w:r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>:</w:t>
      </w:r>
    </w:p>
    <w:p w:rsidR="00D83872" w:rsidRPr="003C40A4" w:rsidRDefault="00D83872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83872" w:rsidRDefault="00D83872" w:rsidP="00D83872">
      <w:pPr>
        <w:pStyle w:val="Paragraphedeliste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D’investissement</w:t>
      </w:r>
      <w:r w:rsidR="00DE7131" w:rsidRPr="00201B03">
        <w:rPr>
          <w:rFonts w:ascii="Century Gothic" w:hAnsi="Century Gothic" w:cs="Calibri"/>
          <w:color w:val="000000"/>
          <w:sz w:val="28"/>
          <w:szCs w:val="28"/>
        </w:rPr>
        <w:t xml:space="preserve"> et d’équipement (acquisition de matériel, équipements,</w:t>
      </w:r>
      <w:r w:rsidR="00201B03" w:rsidRPr="00201B03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DE7131" w:rsidRPr="00201B03">
        <w:rPr>
          <w:rFonts w:ascii="Century Gothic" w:hAnsi="Century Gothic" w:cs="Calibri"/>
          <w:color w:val="000000"/>
          <w:sz w:val="28"/>
          <w:szCs w:val="28"/>
        </w:rPr>
        <w:t>mobilier, aménagement de locaux etc.).</w:t>
      </w:r>
    </w:p>
    <w:p w:rsidR="00D83872" w:rsidRDefault="00D83872" w:rsidP="00D83872">
      <w:pPr>
        <w:pStyle w:val="Paragraphedeliste"/>
        <w:autoSpaceDE w:val="0"/>
        <w:autoSpaceDN w:val="0"/>
        <w:adjustRightInd w:val="0"/>
        <w:spacing w:after="0" w:line="240" w:lineRule="auto"/>
        <w:ind w:left="1134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D83872" w:rsidRDefault="00DE7131" w:rsidP="00D83872">
      <w:pPr>
        <w:pStyle w:val="Paragraphedeliste"/>
        <w:autoSpaceDE w:val="0"/>
        <w:autoSpaceDN w:val="0"/>
        <w:adjustRightInd w:val="0"/>
        <w:spacing w:after="0" w:line="240" w:lineRule="auto"/>
        <w:ind w:left="0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BC100F">
        <w:rPr>
          <w:rFonts w:ascii="Century Gothic" w:hAnsi="Century Gothic" w:cs="Calibri"/>
          <w:color w:val="000000"/>
          <w:sz w:val="28"/>
          <w:szCs w:val="28"/>
        </w:rPr>
        <w:t>Le financement demandé ne peut couvrir les dépenses de fonctionnement du</w:t>
      </w:r>
      <w:r w:rsidR="000E3BA3" w:rsidRPr="00BC100F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BC100F">
        <w:rPr>
          <w:rFonts w:ascii="Century Gothic" w:hAnsi="Century Gothic" w:cs="Calibri"/>
          <w:color w:val="000000"/>
          <w:sz w:val="28"/>
          <w:szCs w:val="28"/>
        </w:rPr>
        <w:t>porteur de projet.</w:t>
      </w:r>
    </w:p>
    <w:p w:rsidR="000E3BA3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201B03" w:rsidRPr="003C40A4" w:rsidRDefault="00201B0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>Sont exclus :</w:t>
      </w: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E7131" w:rsidRPr="00201B03" w:rsidRDefault="00DE7131" w:rsidP="00201B03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Les investissements immobiliers,</w:t>
      </w:r>
    </w:p>
    <w:p w:rsidR="00DE7131" w:rsidRPr="00201B03" w:rsidRDefault="00DE7131" w:rsidP="00201B03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Les coûts fixes de fonctionnement (locaux et charges, salaires),</w:t>
      </w:r>
    </w:p>
    <w:p w:rsidR="00DE7131" w:rsidRPr="00201B03" w:rsidRDefault="00DE7131" w:rsidP="00201B03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Les évènements spécifiques (colloques, conférences)</w:t>
      </w:r>
      <w:r w:rsidR="00201B03"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045327" w:rsidRDefault="00045327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b/>
          <w:color w:val="000000"/>
          <w:sz w:val="28"/>
          <w:szCs w:val="28"/>
        </w:rPr>
        <w:t>Les critères d’éligibilité :</w:t>
      </w:r>
    </w:p>
    <w:p w:rsidR="00BC100F" w:rsidRPr="0046136A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</w:p>
    <w:p w:rsidR="00DE7131" w:rsidRPr="00201B03" w:rsidRDefault="00DE7131" w:rsidP="00201B03">
      <w:pPr>
        <w:pStyle w:val="Paragraphedeliste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Projet innovant.</w:t>
      </w:r>
    </w:p>
    <w:p w:rsidR="00DE7131" w:rsidRPr="00201B03" w:rsidRDefault="00DE7131" w:rsidP="00201B03">
      <w:pPr>
        <w:pStyle w:val="Paragraphedeliste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Projet participant au rayonnement du territoire</w:t>
      </w:r>
      <w:r w:rsidR="00745787">
        <w:rPr>
          <w:rFonts w:ascii="Century Gothic" w:hAnsi="Century Gothic" w:cs="Calibri"/>
          <w:color w:val="000000"/>
          <w:sz w:val="28"/>
          <w:szCs w:val="28"/>
        </w:rPr>
        <w:t xml:space="preserve"> de la Haute-Garonne</w:t>
      </w:r>
      <w:r w:rsidRPr="00201B03"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DE7131" w:rsidRPr="00201B03" w:rsidRDefault="00DE7131" w:rsidP="00201B03">
      <w:pPr>
        <w:pStyle w:val="Paragraphedeliste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Projet ayant des retombées locales sur la vie économique et sociale (animation,</w:t>
      </w:r>
      <w:r w:rsidR="000E3BA3" w:rsidRPr="00201B03">
        <w:rPr>
          <w:rFonts w:ascii="Century Gothic" w:hAnsi="Century Gothic" w:cs="Calibri"/>
          <w:color w:val="000000"/>
          <w:sz w:val="28"/>
          <w:szCs w:val="28"/>
        </w:rPr>
        <w:t xml:space="preserve"> création d’emplois</w:t>
      </w:r>
      <w:r w:rsidRPr="00201B03">
        <w:rPr>
          <w:rFonts w:ascii="Century Gothic" w:hAnsi="Century Gothic" w:cs="Calibri"/>
          <w:color w:val="000000"/>
          <w:sz w:val="28"/>
          <w:szCs w:val="28"/>
        </w:rPr>
        <w:t>).</w:t>
      </w:r>
    </w:p>
    <w:p w:rsidR="00DE7131" w:rsidRPr="00201B03" w:rsidRDefault="00DE7131" w:rsidP="00201B03">
      <w:pPr>
        <w:pStyle w:val="Paragraphedeliste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Projet utile au territoire.</w:t>
      </w:r>
    </w:p>
    <w:p w:rsidR="00DE7131" w:rsidRPr="00201B03" w:rsidRDefault="00DE7131" w:rsidP="00201B03">
      <w:pPr>
        <w:pStyle w:val="Paragraphedeliste"/>
        <w:numPr>
          <w:ilvl w:val="0"/>
          <w:numId w:val="8"/>
        </w:numPr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201B03">
        <w:rPr>
          <w:rFonts w:ascii="Century Gothic" w:hAnsi="Century Gothic" w:cs="Calibri"/>
          <w:color w:val="000000"/>
          <w:sz w:val="28"/>
          <w:szCs w:val="28"/>
        </w:rPr>
        <w:t>Projet en adéquation a</w:t>
      </w:r>
      <w:r w:rsidR="00045327">
        <w:rPr>
          <w:rFonts w:ascii="Century Gothic" w:hAnsi="Century Gothic" w:cs="Calibri"/>
          <w:color w:val="000000"/>
          <w:sz w:val="28"/>
          <w:szCs w:val="28"/>
        </w:rPr>
        <w:t>vec les valeurs de l’entreprise et du projet sociétal de la caisse régionale.</w:t>
      </w:r>
    </w:p>
    <w:p w:rsidR="000E3BA3" w:rsidRPr="00745787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  <w:u w:val="single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b/>
          <w:color w:val="000000"/>
          <w:sz w:val="28"/>
          <w:szCs w:val="28"/>
        </w:rPr>
        <w:t>Les critères d’exclusion :</w:t>
      </w:r>
    </w:p>
    <w:p w:rsidR="00BC100F" w:rsidRPr="0046136A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b/>
          <w:color w:val="000000"/>
          <w:sz w:val="28"/>
          <w:szCs w:val="28"/>
        </w:rPr>
      </w:pPr>
    </w:p>
    <w:p w:rsidR="00DE7131" w:rsidRPr="0046136A" w:rsidRDefault="00DE7131" w:rsidP="0046136A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Projet à but lucratif.</w:t>
      </w:r>
    </w:p>
    <w:p w:rsidR="00DE7131" w:rsidRPr="0046136A" w:rsidRDefault="00DE7131" w:rsidP="0046136A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Projet au profit d’un cercle restreint.</w:t>
      </w:r>
    </w:p>
    <w:p w:rsidR="00DE7131" w:rsidRPr="0046136A" w:rsidRDefault="00DE7131" w:rsidP="0046136A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Projet relevant du parrainage.</w:t>
      </w:r>
    </w:p>
    <w:p w:rsidR="00DE7131" w:rsidRPr="0046136A" w:rsidRDefault="00DE7131" w:rsidP="0046136A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Projet à caractère politique ou confessionnel.</w:t>
      </w:r>
    </w:p>
    <w:p w:rsidR="00DE7131" w:rsidRDefault="00DE7131" w:rsidP="00000178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00178">
        <w:rPr>
          <w:rFonts w:ascii="Century Gothic" w:hAnsi="Century Gothic" w:cs="Calibri"/>
          <w:color w:val="000000"/>
          <w:sz w:val="28"/>
          <w:szCs w:val="28"/>
        </w:rPr>
        <w:t>La Fondation ne doit pas être le financeur unique du projet, une étude budgétaire doit être</w:t>
      </w:r>
      <w:r w:rsidR="0046136A" w:rsidRPr="00000178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000178">
        <w:rPr>
          <w:rFonts w:ascii="Century Gothic" w:hAnsi="Century Gothic" w:cs="Calibri"/>
          <w:color w:val="000000"/>
          <w:sz w:val="28"/>
          <w:szCs w:val="28"/>
        </w:rPr>
        <w:t>produite.</w:t>
      </w:r>
    </w:p>
    <w:p w:rsidR="00000178" w:rsidRPr="00000178" w:rsidRDefault="00000178" w:rsidP="00000178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0E3BA3" w:rsidRPr="003C40A4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46136A" w:rsidRDefault="00DE7131" w:rsidP="0046136A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46136A">
        <w:rPr>
          <w:rFonts w:ascii="Century Gothic" w:hAnsi="Century Gothic" w:cs="Calibri,Bold"/>
          <w:b/>
          <w:bCs/>
          <w:color w:val="1F497D"/>
          <w:sz w:val="28"/>
          <w:szCs w:val="28"/>
        </w:rPr>
        <w:t>Les interventions</w:t>
      </w:r>
    </w:p>
    <w:p w:rsidR="0046136A" w:rsidRPr="0046136A" w:rsidRDefault="0046136A" w:rsidP="0046136A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Cette aide doit relever du domaine du mécénat et non du parrainage.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 mécénat est le soutien apporté sans contrepartie directe de la part du bénéficiaire, à une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>œuvre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 ou à une personne pour l’exercice d’activités présentant un intérêt général. (Arrêté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du 6 janvier 1989).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 parrainage représente le soutien apporté à une manifestation, à une personne, à un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produit ou à une organisation en vue d’en retirer un bénéfice direct.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Si le parrainage est un affichage, le mécénat est une signature.</w:t>
      </w:r>
    </w:p>
    <w:p w:rsidR="000E3BA3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745787" w:rsidRPr="003C40A4" w:rsidRDefault="00745787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000000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000000"/>
          <w:sz w:val="28"/>
          <w:szCs w:val="28"/>
        </w:rPr>
        <w:t>L’aide apportée par la Fondation peut être :</w:t>
      </w:r>
    </w:p>
    <w:p w:rsidR="00DE7131" w:rsidRPr="0046136A" w:rsidRDefault="00DE7131" w:rsidP="0046136A">
      <w:pPr>
        <w:pStyle w:val="Paragraphedeliste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Pécuniaire*-,</w:t>
      </w:r>
    </w:p>
    <w:p w:rsidR="00DE7131" w:rsidRPr="0046136A" w:rsidRDefault="0046136A" w:rsidP="0046136A">
      <w:pPr>
        <w:pStyle w:val="Paragraphedeliste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Matérielle</w:t>
      </w:r>
      <w:r w:rsidR="00DE7131" w:rsidRPr="0046136A">
        <w:rPr>
          <w:rFonts w:ascii="Century Gothic" w:hAnsi="Century Gothic" w:cs="Calibri"/>
          <w:color w:val="000000"/>
          <w:sz w:val="28"/>
          <w:szCs w:val="28"/>
        </w:rPr>
        <w:t xml:space="preserve"> et technique,</w:t>
      </w:r>
    </w:p>
    <w:p w:rsidR="00DE7131" w:rsidRPr="0046136A" w:rsidRDefault="0046136A" w:rsidP="0046136A">
      <w:pPr>
        <w:pStyle w:val="Paragraphedeliste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De</w:t>
      </w:r>
      <w:r w:rsidR="00DE7131" w:rsidRPr="0046136A">
        <w:rPr>
          <w:rFonts w:ascii="Century Gothic" w:hAnsi="Century Gothic" w:cs="Calibri"/>
          <w:color w:val="000000"/>
          <w:sz w:val="28"/>
          <w:szCs w:val="28"/>
        </w:rPr>
        <w:t xml:space="preserve"> mise à disposition de compétences,</w:t>
      </w:r>
    </w:p>
    <w:p w:rsidR="00DE7131" w:rsidRPr="0046136A" w:rsidRDefault="0046136A" w:rsidP="0046136A">
      <w:pPr>
        <w:pStyle w:val="Paragraphedeliste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46136A">
        <w:rPr>
          <w:rFonts w:ascii="Century Gothic" w:hAnsi="Century Gothic" w:cs="Calibri"/>
          <w:color w:val="000000"/>
          <w:sz w:val="28"/>
          <w:szCs w:val="28"/>
        </w:rPr>
        <w:t>De</w:t>
      </w:r>
      <w:r w:rsidR="00DE7131" w:rsidRPr="0046136A">
        <w:rPr>
          <w:rFonts w:ascii="Century Gothic" w:hAnsi="Century Gothic" w:cs="Calibri"/>
          <w:color w:val="000000"/>
          <w:sz w:val="28"/>
          <w:szCs w:val="28"/>
        </w:rPr>
        <w:t xml:space="preserve"> relai de communication sur les vitrines et sites institutionnels du Crédit Agricole</w:t>
      </w:r>
      <w:r w:rsidRP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DE7131" w:rsidRPr="0046136A">
        <w:rPr>
          <w:rFonts w:ascii="Century Gothic" w:hAnsi="Century Gothic" w:cs="Calibri"/>
          <w:color w:val="000000"/>
          <w:sz w:val="28"/>
          <w:szCs w:val="28"/>
        </w:rPr>
        <w:t>Toulouse 31,</w:t>
      </w:r>
    </w:p>
    <w:p w:rsidR="00DE7131" w:rsidRPr="003C40A4" w:rsidRDefault="00DE7131" w:rsidP="0046136A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045327" w:rsidRDefault="00045327" w:rsidP="00045327">
      <w:pPr>
        <w:shd w:val="clear" w:color="auto" w:fill="FFFFFF"/>
        <w:spacing w:after="128" w:line="405" w:lineRule="atLeast"/>
        <w:jc w:val="both"/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</w:pPr>
      <w:r w:rsidRPr="00D2763A"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  <w:t>*possibilité d’un cofinancement par la Fondation Pays de France sur des projets patrimoniaux environnementaux et par la Fondation Crédit Agricole Solidarité sur 4 thématiques d’actions (insertion sociale, insertion économique et professionnelle, logement, santé et bien vieillir)</w:t>
      </w:r>
      <w:r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  <w:t xml:space="preserve"> ; </w:t>
      </w:r>
      <w:r w:rsidR="00DE7131" w:rsidRPr="00045327"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  <w:t>sous réserve</w:t>
      </w:r>
      <w:r w:rsidR="000E3BA3" w:rsidRPr="00045327"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  <w:t xml:space="preserve"> </w:t>
      </w:r>
      <w:r w:rsidR="00DE7131" w:rsidRPr="00045327"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  <w:t>de l’accord de leur comité respectif.</w:t>
      </w:r>
    </w:p>
    <w:p w:rsidR="000E3BA3" w:rsidRPr="00045327" w:rsidRDefault="000E3BA3" w:rsidP="003C40A4">
      <w:pPr>
        <w:jc w:val="both"/>
        <w:rPr>
          <w:rFonts w:ascii="Century Gothic" w:eastAsia="Times New Roman" w:hAnsi="Century Gothic" w:cs="Open Sans"/>
          <w:color w:val="454545"/>
          <w:sz w:val="24"/>
          <w:szCs w:val="24"/>
          <w:lang w:eastAsia="fr-FR"/>
        </w:rPr>
      </w:pPr>
    </w:p>
    <w:p w:rsidR="00DE7131" w:rsidRPr="0046136A" w:rsidRDefault="00DE7131" w:rsidP="0046136A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46136A">
        <w:rPr>
          <w:rFonts w:ascii="Century Gothic" w:hAnsi="Century Gothic" w:cs="Calibri,Bold"/>
          <w:b/>
          <w:bCs/>
          <w:color w:val="1F497D"/>
          <w:sz w:val="28"/>
          <w:szCs w:val="28"/>
        </w:rPr>
        <w:t>Le fonctionnement</w:t>
      </w:r>
    </w:p>
    <w:p w:rsidR="0046136A" w:rsidRDefault="0046136A" w:rsidP="0046136A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Un comité d’attribution statuera sur la recevabilité des dossiers présentés et donnera, pour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les dossiers acceptés, l’autorisation de versement des aides aux services comptables de la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Caisse Régionale, dans la limite de l’affectation budgétaire annuelle.</w:t>
      </w: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Les membres du comité exercent leur fonction à titre gratuit.</w:t>
      </w: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 comité se réunit 3 fois par an. Les membres seront convoqués par écrit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ou courrier électronique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 au moins 15 jours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avant la date de réunion du comité.</w:t>
      </w: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La date limite de remise ou d’envoi du dossier de candidature est fixée à </w:t>
      </w:r>
      <w:r w:rsidR="001903F0">
        <w:rPr>
          <w:rFonts w:ascii="Century Gothic" w:hAnsi="Century Gothic" w:cs="Calibri"/>
          <w:color w:val="000000"/>
          <w:sz w:val="28"/>
          <w:szCs w:val="28"/>
        </w:rPr>
        <w:t>7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 jours avant la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date du Comités d’attribution.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Les décisions sont prises à la majorité relative des membres présents. En cas de partage des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voix, celle du Président du Comité est prépondérante.</w:t>
      </w: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Sont présentés au comité d’attribution l’ensemble des dossiers reçus : en détail les dossiers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recevables, n’énonçant que les motifs pour les dossiers non recevables.</w:t>
      </w: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Tous les dossiers reçus seront consignés dans un registre qui fera état de la date du comité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qui a statué et de la décision qui a été prise. Ce registre sera signé après chaque comité par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le Président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de la Fondation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BC100F">
        <w:rPr>
          <w:rFonts w:ascii="Century Gothic" w:hAnsi="Century Gothic" w:cs="Calibri"/>
          <w:color w:val="000000"/>
          <w:sz w:val="28"/>
          <w:szCs w:val="28"/>
        </w:rPr>
        <w:t>Le comité est composé d</w:t>
      </w:r>
      <w:r w:rsidR="0046136A" w:rsidRPr="00BC100F">
        <w:rPr>
          <w:rFonts w:ascii="Century Gothic" w:hAnsi="Century Gothic" w:cs="Calibri"/>
          <w:color w:val="000000"/>
          <w:sz w:val="28"/>
          <w:szCs w:val="28"/>
        </w:rPr>
        <w:t xml:space="preserve">e maximum </w:t>
      </w:r>
      <w:r w:rsidRPr="00BC100F">
        <w:rPr>
          <w:rFonts w:ascii="Century Gothic" w:hAnsi="Century Gothic" w:cs="Calibri"/>
          <w:color w:val="000000"/>
          <w:sz w:val="28"/>
          <w:szCs w:val="28"/>
        </w:rPr>
        <w:t>9 membres du Conseil d’Administration de la Fondation.</w:t>
      </w:r>
    </w:p>
    <w:p w:rsidR="0046136A" w:rsidRDefault="0046136A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46136A" w:rsidRDefault="0046136A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46136A" w:rsidRDefault="00DE7131" w:rsidP="0046136A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46136A">
        <w:rPr>
          <w:rFonts w:ascii="Century Gothic" w:hAnsi="Century Gothic" w:cs="Calibri,Bold"/>
          <w:b/>
          <w:bCs/>
          <w:color w:val="1F497D"/>
          <w:sz w:val="28"/>
          <w:szCs w:val="28"/>
        </w:rPr>
        <w:t>Constitution des dossiers</w:t>
      </w:r>
    </w:p>
    <w:p w:rsidR="0046136A" w:rsidRPr="0046136A" w:rsidRDefault="0046136A" w:rsidP="0046136A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46136A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Les dossiers de candidature sont disponibles et à compléter directement sur le site Internet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de la Caisse régionale à l’adresse suivante</w:t>
      </w:r>
      <w:r w:rsidR="0046136A">
        <w:rPr>
          <w:rFonts w:ascii="Century Gothic" w:hAnsi="Century Gothic" w:cs="Calibri"/>
          <w:color w:val="000000"/>
          <w:sz w:val="28"/>
          <w:szCs w:val="28"/>
        </w:rPr>
        <w:t xml:space="preserve"> </w:t>
      </w:r>
    </w:p>
    <w:p w:rsidR="009003C4" w:rsidRPr="003C40A4" w:rsidRDefault="009003C4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FF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Style w:val="Lienhypertexte"/>
          <w:rFonts w:ascii="Century Gothic" w:hAnsi="Century Gothic" w:cs="Calibri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Les pièces jointes et toutes questions sont à adresser à </w:t>
      </w:r>
      <w:hyperlink r:id="rId5" w:history="1">
        <w:r w:rsidR="00C50BE5" w:rsidRPr="003219EA">
          <w:rPr>
            <w:rStyle w:val="Lienhypertexte"/>
            <w:rFonts w:ascii="Century Gothic" w:hAnsi="Century Gothic" w:cs="Calibri"/>
            <w:sz w:val="28"/>
            <w:szCs w:val="28"/>
          </w:rPr>
          <w:t>fondation@ca-toulouse31.fr</w:t>
        </w:r>
      </w:hyperlink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FF"/>
          <w:sz w:val="28"/>
          <w:szCs w:val="28"/>
        </w:rPr>
      </w:pPr>
    </w:p>
    <w:p w:rsidR="000E3BA3" w:rsidRPr="003C40A4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FF"/>
          <w:sz w:val="28"/>
          <w:szCs w:val="28"/>
        </w:rPr>
      </w:pPr>
    </w:p>
    <w:p w:rsidR="00DE7131" w:rsidRPr="0046136A" w:rsidRDefault="00DE7131" w:rsidP="0046136A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46136A">
        <w:rPr>
          <w:rFonts w:ascii="Century Gothic" w:hAnsi="Century Gothic" w:cs="Calibri,Bold"/>
          <w:b/>
          <w:bCs/>
          <w:color w:val="1F497D"/>
          <w:sz w:val="28"/>
          <w:szCs w:val="28"/>
        </w:rPr>
        <w:t>Communication des décisions</w:t>
      </w:r>
    </w:p>
    <w:p w:rsidR="0046136A" w:rsidRPr="0046136A" w:rsidRDefault="0046136A" w:rsidP="0046136A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Après décision du Comité de la Fondation d’octroi ou de non octroi de la subvention, le</w:t>
      </w:r>
      <w:r w:rsidR="0029554E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porteur du projet recevra un </w:t>
      </w:r>
      <w:r w:rsidR="0029554E">
        <w:rPr>
          <w:rFonts w:ascii="Century Gothic" w:hAnsi="Century Gothic" w:cs="Calibri"/>
          <w:color w:val="000000"/>
          <w:sz w:val="28"/>
          <w:szCs w:val="28"/>
        </w:rPr>
        <w:t>courrier électronique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 xml:space="preserve"> de la Fondation pour lui signifier sa décision.</w:t>
      </w:r>
    </w:p>
    <w:p w:rsidR="000E3BA3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BC100F" w:rsidRPr="003C40A4" w:rsidRDefault="00BC100F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DE7131" w:rsidRPr="00D15979" w:rsidRDefault="00DE7131" w:rsidP="00D15979">
      <w:pPr>
        <w:pStyle w:val="Paragraphedeliste"/>
        <w:numPr>
          <w:ilvl w:val="0"/>
          <w:numId w:val="4"/>
        </w:numPr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D15979">
        <w:rPr>
          <w:rFonts w:ascii="Century Gothic" w:hAnsi="Century Gothic" w:cs="Calibri,Bold"/>
          <w:b/>
          <w:bCs/>
          <w:color w:val="1F497D"/>
          <w:sz w:val="28"/>
          <w:szCs w:val="28"/>
        </w:rPr>
        <w:t>Formalisation des dossiers acceptés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L’aide apportée sera formalisée par une</w:t>
      </w:r>
      <w:r w:rsidR="00CF19FA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convention de mécénat qui sera faite entre les deux</w:t>
      </w:r>
      <w:r w:rsidR="0029554E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parties.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Si l’aide est pécuniaire, elle se traduira par un virement.</w:t>
      </w:r>
    </w:p>
    <w:p w:rsidR="000E3BA3" w:rsidRDefault="000E3BA3" w:rsidP="0029554E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29554E" w:rsidRPr="000B62C7" w:rsidRDefault="0029554E" w:rsidP="0029554E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B62C7">
        <w:rPr>
          <w:rFonts w:ascii="Century Gothic" w:hAnsi="Century Gothic" w:cs="Calibri"/>
          <w:color w:val="000000"/>
          <w:sz w:val="28"/>
          <w:szCs w:val="28"/>
        </w:rPr>
        <w:t xml:space="preserve">Pour tout projet de don quel qu’en soit le montant, un appel de fonds est émis par l’organisme en attestation de la demande de subvention. </w:t>
      </w:r>
    </w:p>
    <w:p w:rsidR="0029554E" w:rsidRPr="000B62C7" w:rsidRDefault="0029554E" w:rsidP="0029554E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CF19FA" w:rsidRPr="000B62C7" w:rsidRDefault="0029554E" w:rsidP="0029554E">
      <w:pPr>
        <w:pStyle w:val="Paragraphedelist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0B62C7">
        <w:rPr>
          <w:rFonts w:ascii="Century Gothic" w:hAnsi="Century Gothic" w:cs="Calibri"/>
          <w:color w:val="000000"/>
          <w:sz w:val="28"/>
          <w:szCs w:val="28"/>
        </w:rPr>
        <w:t>Tout projet de don fe</w:t>
      </w:r>
      <w:r w:rsidR="00E72A1B">
        <w:rPr>
          <w:rFonts w:ascii="Century Gothic" w:hAnsi="Century Gothic" w:cs="Calibri"/>
          <w:color w:val="000000"/>
          <w:sz w:val="28"/>
          <w:szCs w:val="28"/>
        </w:rPr>
        <w:t>ra</w:t>
      </w:r>
      <w:r w:rsidRPr="000B62C7">
        <w:rPr>
          <w:rFonts w:ascii="Century Gothic" w:hAnsi="Century Gothic" w:cs="Calibri"/>
          <w:color w:val="000000"/>
          <w:sz w:val="28"/>
          <w:szCs w:val="28"/>
        </w:rPr>
        <w:t xml:space="preserve"> l’objet d’une convention de mécénat entre la Fondation d’entreprise CA Toulouse 31 et le bénéficiaire.</w:t>
      </w:r>
    </w:p>
    <w:p w:rsidR="00CF19FA" w:rsidRPr="000B62C7" w:rsidRDefault="00CF19FA" w:rsidP="00CF19FA">
      <w:pPr>
        <w:pStyle w:val="Paragraphedeliste"/>
        <w:rPr>
          <w:rFonts w:ascii="Century Gothic" w:hAnsi="Century Gothic" w:cs="Calibri"/>
          <w:color w:val="000000"/>
          <w:sz w:val="28"/>
          <w:szCs w:val="28"/>
        </w:rPr>
      </w:pPr>
    </w:p>
    <w:p w:rsidR="00313AD2" w:rsidRDefault="00313AD2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E72A1B" w:rsidRDefault="00E72A1B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E72A1B" w:rsidRDefault="00E72A1B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bookmarkStart w:id="0" w:name="_GoBack"/>
      <w:bookmarkEnd w:id="0"/>
    </w:p>
    <w:p w:rsidR="00DE7131" w:rsidRPr="00D15979" w:rsidRDefault="00DE7131" w:rsidP="00D15979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D15979">
        <w:rPr>
          <w:rFonts w:ascii="Century Gothic" w:hAnsi="Century Gothic" w:cs="Calibri,Bold"/>
          <w:b/>
          <w:bCs/>
          <w:color w:val="1F497D"/>
          <w:sz w:val="28"/>
          <w:szCs w:val="28"/>
        </w:rPr>
        <w:t>Communication et contreparties</w:t>
      </w:r>
    </w:p>
    <w:p w:rsidR="0029554E" w:rsidRPr="003C40A4" w:rsidRDefault="0029554E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28"/>
          <w:szCs w:val="28"/>
        </w:rPr>
        <w:t>Communication :</w:t>
      </w:r>
    </w:p>
    <w:p w:rsidR="00DD675C" w:rsidRPr="003C40A4" w:rsidRDefault="00DD675C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La Fondation communiquera dans le but de faire connaître sa vocation, mais également pour</w:t>
      </w:r>
      <w:r w:rsidR="0029554E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rendre compte de son activité auprès des administrateurs, des salariés, et du public.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- La communication en interne : les travaux de la Fondation seront régulièrement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commentés sur les supports internes.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- La communication en externe : elle mettra en avant des projets soutenus, sur différents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sites institutionnels, supports, réseaux sociaux ou par voie de presse.</w:t>
      </w:r>
    </w:p>
    <w:p w:rsidR="00DE7131" w:rsidRPr="003C40A4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3C40A4">
        <w:rPr>
          <w:rFonts w:ascii="Century Gothic" w:hAnsi="Century Gothic" w:cs="Calibri"/>
          <w:color w:val="000000"/>
          <w:sz w:val="28"/>
          <w:szCs w:val="28"/>
        </w:rPr>
        <w:t>- Evénementiel : Pour certains projets significatifs, le mécénat pourra être médiatisé par</w:t>
      </w:r>
      <w:r w:rsidR="000E3BA3" w:rsidRPr="003C40A4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Pr="003C40A4">
        <w:rPr>
          <w:rFonts w:ascii="Century Gothic" w:hAnsi="Century Gothic" w:cs="Calibri"/>
          <w:color w:val="000000"/>
          <w:sz w:val="28"/>
          <w:szCs w:val="28"/>
        </w:rPr>
        <w:t>l’organisation d’une cérémonie.</w:t>
      </w:r>
    </w:p>
    <w:p w:rsidR="0029554E" w:rsidRDefault="0029554E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</w:p>
    <w:p w:rsidR="0014611B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5915A8">
        <w:rPr>
          <w:rFonts w:ascii="Century Gothic" w:hAnsi="Century Gothic" w:cs="Calibri"/>
          <w:color w:val="000000"/>
          <w:sz w:val="28"/>
          <w:szCs w:val="28"/>
        </w:rPr>
        <w:t xml:space="preserve">Par ailleurs </w:t>
      </w:r>
      <w:r w:rsidR="008461E1">
        <w:rPr>
          <w:rFonts w:ascii="Century Gothic" w:hAnsi="Century Gothic" w:cs="Calibri"/>
          <w:color w:val="000000"/>
          <w:sz w:val="28"/>
          <w:szCs w:val="28"/>
        </w:rPr>
        <w:t xml:space="preserve">le </w:t>
      </w:r>
      <w:r w:rsidRPr="005915A8">
        <w:rPr>
          <w:rFonts w:ascii="Century Gothic" w:hAnsi="Century Gothic" w:cs="Calibri"/>
          <w:color w:val="000000"/>
          <w:sz w:val="28"/>
          <w:szCs w:val="28"/>
        </w:rPr>
        <w:t>porteur de projet</w:t>
      </w:r>
      <w:r w:rsidR="00D84898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14611B">
        <w:rPr>
          <w:rFonts w:ascii="Century Gothic" w:hAnsi="Century Gothic" w:cs="Calibri"/>
          <w:color w:val="000000"/>
          <w:sz w:val="28"/>
          <w:szCs w:val="28"/>
        </w:rPr>
        <w:t>communiquera sur le soutien apporté par la Fondation (site internet, réseaux sociaux, communiqué de presse ...) et fera un suivi à la Fondation des engagements pris dans le temps sur le projet financé par la Fondation.</w:t>
      </w:r>
    </w:p>
    <w:p w:rsidR="00DE7131" w:rsidRPr="003C40A4" w:rsidRDefault="0014611B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>
        <w:rPr>
          <w:rFonts w:ascii="Century Gothic" w:hAnsi="Century Gothic" w:cs="Calibri"/>
          <w:color w:val="000000"/>
          <w:sz w:val="28"/>
          <w:szCs w:val="28"/>
        </w:rPr>
        <w:t xml:space="preserve">Il </w:t>
      </w:r>
      <w:r w:rsidR="00DE7131" w:rsidRPr="005915A8">
        <w:rPr>
          <w:rFonts w:ascii="Century Gothic" w:hAnsi="Century Gothic" w:cs="Calibri"/>
          <w:color w:val="000000"/>
          <w:sz w:val="28"/>
          <w:szCs w:val="28"/>
        </w:rPr>
        <w:t>pourr</w:t>
      </w:r>
      <w:r>
        <w:rPr>
          <w:rFonts w:ascii="Century Gothic" w:hAnsi="Century Gothic" w:cs="Calibri"/>
          <w:color w:val="000000"/>
          <w:sz w:val="28"/>
          <w:szCs w:val="28"/>
        </w:rPr>
        <w:t>a</w:t>
      </w:r>
      <w:r w:rsidR="00DE7131" w:rsidRPr="005915A8">
        <w:rPr>
          <w:rFonts w:ascii="Century Gothic" w:hAnsi="Century Gothic" w:cs="Calibri"/>
          <w:color w:val="000000"/>
          <w:sz w:val="28"/>
          <w:szCs w:val="28"/>
        </w:rPr>
        <w:t xml:space="preserve"> venir rend</w:t>
      </w:r>
      <w:r>
        <w:rPr>
          <w:rFonts w:ascii="Century Gothic" w:hAnsi="Century Gothic" w:cs="Calibri"/>
          <w:color w:val="000000"/>
          <w:sz w:val="28"/>
          <w:szCs w:val="28"/>
        </w:rPr>
        <w:t>re compte de la réalisation de son</w:t>
      </w:r>
      <w:r w:rsidR="000E3BA3" w:rsidRPr="005915A8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DE7131" w:rsidRPr="005915A8">
        <w:rPr>
          <w:rFonts w:ascii="Century Gothic" w:hAnsi="Century Gothic" w:cs="Calibri"/>
          <w:color w:val="000000"/>
          <w:sz w:val="28"/>
          <w:szCs w:val="28"/>
        </w:rPr>
        <w:t xml:space="preserve">action au cours </w:t>
      </w:r>
      <w:r w:rsidR="00CF19FA" w:rsidRPr="005915A8">
        <w:rPr>
          <w:rFonts w:ascii="Century Gothic" w:hAnsi="Century Gothic" w:cs="Calibri"/>
          <w:color w:val="000000"/>
          <w:sz w:val="28"/>
          <w:szCs w:val="28"/>
        </w:rPr>
        <w:t>d’</w:t>
      </w:r>
      <w:r w:rsidR="005915A8" w:rsidRPr="005915A8">
        <w:rPr>
          <w:rFonts w:ascii="Century Gothic" w:hAnsi="Century Gothic" w:cs="Calibri"/>
          <w:color w:val="000000"/>
          <w:sz w:val="28"/>
          <w:szCs w:val="28"/>
        </w:rPr>
        <w:t xml:space="preserve">évènements </w:t>
      </w:r>
      <w:r w:rsidR="00CF19FA" w:rsidRPr="005915A8">
        <w:rPr>
          <w:rFonts w:ascii="Century Gothic" w:hAnsi="Century Gothic" w:cs="Calibri"/>
          <w:color w:val="000000"/>
          <w:sz w:val="28"/>
          <w:szCs w:val="28"/>
        </w:rPr>
        <w:t xml:space="preserve">externes </w:t>
      </w:r>
      <w:r w:rsidR="005915A8" w:rsidRPr="005915A8">
        <w:rPr>
          <w:rFonts w:ascii="Century Gothic" w:hAnsi="Century Gothic" w:cs="Calibri"/>
          <w:color w:val="000000"/>
          <w:sz w:val="28"/>
          <w:szCs w:val="28"/>
        </w:rPr>
        <w:t>ou</w:t>
      </w:r>
      <w:r w:rsidR="00CF19FA" w:rsidRPr="005915A8">
        <w:rPr>
          <w:rFonts w:ascii="Century Gothic" w:hAnsi="Century Gothic" w:cs="Calibri"/>
          <w:color w:val="000000"/>
          <w:sz w:val="28"/>
          <w:szCs w:val="28"/>
        </w:rPr>
        <w:t xml:space="preserve"> </w:t>
      </w:r>
      <w:r w:rsidR="00DE7131" w:rsidRPr="005915A8">
        <w:rPr>
          <w:rFonts w:ascii="Century Gothic" w:hAnsi="Century Gothic" w:cs="Calibri"/>
          <w:color w:val="000000"/>
          <w:sz w:val="28"/>
          <w:szCs w:val="28"/>
        </w:rPr>
        <w:t>lors de réunions internes</w:t>
      </w:r>
      <w:r w:rsidR="005915A8" w:rsidRPr="005915A8">
        <w:rPr>
          <w:rFonts w:ascii="Century Gothic" w:hAnsi="Century Gothic" w:cs="Calibri"/>
          <w:color w:val="000000"/>
          <w:sz w:val="28"/>
          <w:szCs w:val="28"/>
        </w:rPr>
        <w:t xml:space="preserve"> organisés par la Caisse régionale de Crédit Agricole Toulouse 31.</w:t>
      </w:r>
    </w:p>
    <w:p w:rsidR="000E3BA3" w:rsidRPr="003C40A4" w:rsidRDefault="000E3BA3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DE7131" w:rsidRDefault="00DE7131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  <w:r w:rsidRPr="003C40A4">
        <w:rPr>
          <w:rFonts w:ascii="Century Gothic" w:hAnsi="Century Gothic" w:cs="Calibri,Bold"/>
          <w:b/>
          <w:bCs/>
          <w:color w:val="1F497D"/>
          <w:sz w:val="28"/>
          <w:szCs w:val="28"/>
        </w:rPr>
        <w:t>Contreparties :</w:t>
      </w:r>
    </w:p>
    <w:p w:rsidR="00911406" w:rsidRDefault="00911406" w:rsidP="003C40A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911406" w:rsidRPr="00911406" w:rsidRDefault="00911406" w:rsidP="0091140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 w:rsidRPr="00911406">
        <w:rPr>
          <w:rFonts w:ascii="Century Gothic" w:hAnsi="Century Gothic" w:cs="Calibri"/>
          <w:color w:val="000000"/>
          <w:sz w:val="28"/>
          <w:szCs w:val="28"/>
        </w:rPr>
        <w:t>L’administration fiscale reconnait la possibilité d’octroyer des contreparties dans une opération de mécénat, à condition qu’il existe une disproportion marquée entre les sommes données et la valorisation des contreparties éventuellement accordées par l’organisme bénéficiaire. Les contreparties sont à déclarer en même temps que la réduction d’impôt en faveur du mécénat.</w:t>
      </w:r>
    </w:p>
    <w:p w:rsidR="00911406" w:rsidRDefault="00911406" w:rsidP="0091140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,Bold"/>
          <w:b/>
          <w:bCs/>
          <w:color w:val="1F497D"/>
          <w:sz w:val="28"/>
          <w:szCs w:val="28"/>
        </w:rPr>
      </w:pPr>
    </w:p>
    <w:p w:rsidR="00CF19FA" w:rsidRDefault="00CF19FA" w:rsidP="00CF19FA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color w:val="000000"/>
          <w:sz w:val="28"/>
          <w:szCs w:val="28"/>
        </w:rPr>
      </w:pPr>
      <w:r>
        <w:rPr>
          <w:rFonts w:ascii="Century Gothic" w:hAnsi="Century Gothic" w:cs="Calibri"/>
          <w:color w:val="000000"/>
          <w:sz w:val="28"/>
          <w:szCs w:val="28"/>
        </w:rPr>
        <w:t>La Fondation a la p</w:t>
      </w:r>
      <w:r w:rsidRPr="00CF19FA">
        <w:rPr>
          <w:rFonts w:ascii="Century Gothic" w:hAnsi="Century Gothic" w:cs="Calibri"/>
          <w:color w:val="000000"/>
          <w:sz w:val="28"/>
          <w:szCs w:val="28"/>
        </w:rPr>
        <w:t>ossibilité de b</w:t>
      </w:r>
      <w:r w:rsidR="00911406" w:rsidRPr="00CF19FA">
        <w:rPr>
          <w:rFonts w:ascii="Century Gothic" w:hAnsi="Century Gothic" w:cs="Calibri"/>
          <w:color w:val="000000"/>
          <w:sz w:val="28"/>
          <w:szCs w:val="28"/>
        </w:rPr>
        <w:t>énéficier de prestations en contrepartie d’un don</w:t>
      </w:r>
      <w:r>
        <w:rPr>
          <w:rFonts w:ascii="Century Gothic" w:hAnsi="Century Gothic" w:cs="Calibri"/>
          <w:color w:val="000000"/>
          <w:sz w:val="28"/>
          <w:szCs w:val="28"/>
        </w:rPr>
        <w:t>.</w:t>
      </w:r>
    </w:p>
    <w:p w:rsidR="00026670" w:rsidRPr="003C40A4" w:rsidRDefault="00911406" w:rsidP="0014611B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8"/>
          <w:szCs w:val="28"/>
        </w:rPr>
      </w:pPr>
      <w:r w:rsidRPr="00CF19FA">
        <w:rPr>
          <w:rFonts w:ascii="Century Gothic" w:hAnsi="Century Gothic" w:cs="Calibri"/>
          <w:color w:val="000000"/>
          <w:sz w:val="28"/>
          <w:szCs w:val="28"/>
        </w:rPr>
        <w:t xml:space="preserve">En dehors de la mention de son nom et de son logo sur les outils de communication de l’organisme bénéficiaire, </w:t>
      </w:r>
      <w:r w:rsidR="00CF19FA">
        <w:rPr>
          <w:rFonts w:ascii="Century Gothic" w:hAnsi="Century Gothic" w:cs="Calibri"/>
          <w:color w:val="000000"/>
          <w:sz w:val="28"/>
          <w:szCs w:val="28"/>
        </w:rPr>
        <w:t>la Fondation</w:t>
      </w:r>
      <w:r w:rsidRPr="00CF19FA">
        <w:rPr>
          <w:rFonts w:ascii="Century Gothic" w:hAnsi="Century Gothic" w:cs="Calibri"/>
          <w:color w:val="000000"/>
          <w:sz w:val="28"/>
          <w:szCs w:val="28"/>
        </w:rPr>
        <w:t xml:space="preserve"> peut également bénéficier de remise de biens et de prestations de services dans des proportions raisonnables.</w:t>
      </w:r>
    </w:p>
    <w:sectPr w:rsidR="00026670" w:rsidRPr="003C4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3FF6B16"/>
    <w:multiLevelType w:val="hybridMultilevel"/>
    <w:tmpl w:val="EAE7AE2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2795BC1"/>
    <w:multiLevelType w:val="hybridMultilevel"/>
    <w:tmpl w:val="4B20837A"/>
    <w:lvl w:ilvl="0" w:tplc="2D4E5DC0">
      <w:start w:val="1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D7663EA"/>
    <w:multiLevelType w:val="hybridMultilevel"/>
    <w:tmpl w:val="FE28D24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D4E5DC0">
      <w:start w:val="1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FB16C9"/>
    <w:multiLevelType w:val="hybridMultilevel"/>
    <w:tmpl w:val="B8D088EA"/>
    <w:lvl w:ilvl="0" w:tplc="2D4E5DC0">
      <w:start w:val="12"/>
      <w:numFmt w:val="bullet"/>
      <w:lvlText w:val="-"/>
      <w:lvlJc w:val="left"/>
      <w:rPr>
        <w:rFonts w:ascii="Arial" w:eastAsia="Times New Roman" w:hAnsi="Arial" w:cs="Aria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0C96F6C"/>
    <w:multiLevelType w:val="hybridMultilevel"/>
    <w:tmpl w:val="C01EC6F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1F20A78"/>
    <w:multiLevelType w:val="hybridMultilevel"/>
    <w:tmpl w:val="A2B6D0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E21893"/>
    <w:multiLevelType w:val="hybridMultilevel"/>
    <w:tmpl w:val="BC1E409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334A28"/>
    <w:multiLevelType w:val="hybridMultilevel"/>
    <w:tmpl w:val="8C029BBC"/>
    <w:lvl w:ilvl="0" w:tplc="2D4E5DC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54D09"/>
    <w:multiLevelType w:val="hybridMultilevel"/>
    <w:tmpl w:val="FD228C7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2FC71FA4"/>
    <w:multiLevelType w:val="hybridMultilevel"/>
    <w:tmpl w:val="FF0E4BCC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21212A2"/>
    <w:multiLevelType w:val="hybridMultilevel"/>
    <w:tmpl w:val="029C858A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9523C07"/>
    <w:multiLevelType w:val="hybridMultilevel"/>
    <w:tmpl w:val="86FC1C0E"/>
    <w:lvl w:ilvl="0" w:tplc="2D4E5DC0">
      <w:start w:val="12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2D4E5DC0">
      <w:start w:val="12"/>
      <w:numFmt w:val="bullet"/>
      <w:lvlText w:val="-"/>
      <w:lvlJc w:val="left"/>
      <w:pPr>
        <w:ind w:left="1788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B8B7636"/>
    <w:multiLevelType w:val="hybridMultilevel"/>
    <w:tmpl w:val="73B8CDB2"/>
    <w:lvl w:ilvl="0" w:tplc="2D4E5DC0">
      <w:start w:val="1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DC23B5"/>
    <w:multiLevelType w:val="hybridMultilevel"/>
    <w:tmpl w:val="1346AA3E"/>
    <w:lvl w:ilvl="0" w:tplc="2D4E5DC0">
      <w:start w:val="12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6F06F7E"/>
    <w:multiLevelType w:val="hybridMultilevel"/>
    <w:tmpl w:val="1A38493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5875EB"/>
    <w:multiLevelType w:val="hybridMultilevel"/>
    <w:tmpl w:val="159209B8"/>
    <w:lvl w:ilvl="0" w:tplc="2D4E5DC0">
      <w:start w:val="1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CBD0D33"/>
    <w:multiLevelType w:val="hybridMultilevel"/>
    <w:tmpl w:val="1374B8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FC6BF0"/>
    <w:multiLevelType w:val="hybridMultilevel"/>
    <w:tmpl w:val="4D1A40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DA0C59"/>
    <w:multiLevelType w:val="hybridMultilevel"/>
    <w:tmpl w:val="61B607C0"/>
    <w:lvl w:ilvl="0" w:tplc="2D4E5DC0">
      <w:start w:val="1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1B45F81"/>
    <w:multiLevelType w:val="hybridMultilevel"/>
    <w:tmpl w:val="55CCCD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C71D6A"/>
    <w:multiLevelType w:val="hybridMultilevel"/>
    <w:tmpl w:val="CE8765D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790C04A9"/>
    <w:multiLevelType w:val="hybridMultilevel"/>
    <w:tmpl w:val="C304ED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9D6F9D"/>
    <w:multiLevelType w:val="hybridMultilevel"/>
    <w:tmpl w:val="6BB8CE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22"/>
  </w:num>
  <w:num w:numId="8">
    <w:abstractNumId w:val="16"/>
  </w:num>
  <w:num w:numId="9">
    <w:abstractNumId w:val="21"/>
  </w:num>
  <w:num w:numId="10">
    <w:abstractNumId w:val="17"/>
  </w:num>
  <w:num w:numId="11">
    <w:abstractNumId w:val="5"/>
  </w:num>
  <w:num w:numId="12">
    <w:abstractNumId w:val="18"/>
  </w:num>
  <w:num w:numId="13">
    <w:abstractNumId w:val="12"/>
  </w:num>
  <w:num w:numId="14">
    <w:abstractNumId w:val="9"/>
  </w:num>
  <w:num w:numId="15">
    <w:abstractNumId w:val="13"/>
  </w:num>
  <w:num w:numId="16">
    <w:abstractNumId w:val="3"/>
  </w:num>
  <w:num w:numId="17">
    <w:abstractNumId w:val="1"/>
  </w:num>
  <w:num w:numId="18">
    <w:abstractNumId w:val="15"/>
  </w:num>
  <w:num w:numId="19">
    <w:abstractNumId w:val="11"/>
  </w:num>
  <w:num w:numId="20">
    <w:abstractNumId w:val="14"/>
  </w:num>
  <w:num w:numId="21">
    <w:abstractNumId w:val="10"/>
  </w:num>
  <w:num w:numId="22">
    <w:abstractNumId w:val="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131"/>
    <w:rsid w:val="00000178"/>
    <w:rsid w:val="000201C9"/>
    <w:rsid w:val="00026670"/>
    <w:rsid w:val="00045327"/>
    <w:rsid w:val="000473AB"/>
    <w:rsid w:val="000A3B0E"/>
    <w:rsid w:val="000B62C7"/>
    <w:rsid w:val="000E3BA3"/>
    <w:rsid w:val="0014611B"/>
    <w:rsid w:val="001903F0"/>
    <w:rsid w:val="00201B03"/>
    <w:rsid w:val="0029554E"/>
    <w:rsid w:val="00313AD2"/>
    <w:rsid w:val="003C2D2B"/>
    <w:rsid w:val="003C40A4"/>
    <w:rsid w:val="0046136A"/>
    <w:rsid w:val="005915A8"/>
    <w:rsid w:val="00615149"/>
    <w:rsid w:val="00745787"/>
    <w:rsid w:val="0075014B"/>
    <w:rsid w:val="00787309"/>
    <w:rsid w:val="008461E1"/>
    <w:rsid w:val="009003C4"/>
    <w:rsid w:val="00911406"/>
    <w:rsid w:val="00991B3A"/>
    <w:rsid w:val="00AD343A"/>
    <w:rsid w:val="00BC100F"/>
    <w:rsid w:val="00C50BE5"/>
    <w:rsid w:val="00C63F0D"/>
    <w:rsid w:val="00CF19FA"/>
    <w:rsid w:val="00D15979"/>
    <w:rsid w:val="00D367FA"/>
    <w:rsid w:val="00D61459"/>
    <w:rsid w:val="00D83872"/>
    <w:rsid w:val="00D84898"/>
    <w:rsid w:val="00DB30BF"/>
    <w:rsid w:val="00DD675C"/>
    <w:rsid w:val="00DE7131"/>
    <w:rsid w:val="00E72A1B"/>
    <w:rsid w:val="00ED1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ED4F9"/>
  <w15:chartTrackingRefBased/>
  <w15:docId w15:val="{48271488-5342-4C2C-8967-97CA5682E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0E3BA3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9003C4"/>
    <w:rPr>
      <w:color w:val="954F72" w:themeColor="followedHyperlink"/>
      <w:u w:val="single"/>
    </w:rPr>
  </w:style>
  <w:style w:type="paragraph" w:customStyle="1" w:styleId="Default">
    <w:name w:val="Default"/>
    <w:rsid w:val="003C40A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3C40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ondation@ca-toulouse31.f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7</Pages>
  <Words>1473</Words>
  <Characters>8107</Characters>
  <Application>Microsoft Office Word</Application>
  <DocSecurity>0</DocSecurity>
  <Lines>67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Credit Agricole</Company>
  <LinksUpToDate>false</LinksUpToDate>
  <CharactersWithSpaces>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GIRAL</dc:creator>
  <cp:keywords/>
  <dc:description/>
  <cp:lastModifiedBy>GIRAL Carole</cp:lastModifiedBy>
  <cp:revision>5</cp:revision>
  <dcterms:created xsi:type="dcterms:W3CDTF">2023-02-16T10:01:00Z</dcterms:created>
  <dcterms:modified xsi:type="dcterms:W3CDTF">2023-02-16T10:46:00Z</dcterms:modified>
</cp:coreProperties>
</file>